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8.jpeg" ContentType="image/jpeg"/>
  <Override PartName="/word/media/image1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104775</wp:posOffset>
            </wp:positionH>
            <wp:positionV relativeFrom="paragraph">
              <wp:posOffset>27305</wp:posOffset>
            </wp:positionV>
            <wp:extent cx="1223010" cy="49149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 HG</w:t>
      </w:r>
      <w:r>
        <w:rPr>
          <w:rFonts w:eastAsia="Times New Roman" w:cs="Calibri"/>
          <w:b/>
          <w:sz w:val="28"/>
          <w:szCs w:val="28"/>
          <w:lang w:eastAsia="ru-RU"/>
        </w:rPr>
        <w:t>12-380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(11,0 кВт).</w:t>
      </w:r>
    </w:p>
    <w:p>
      <w:pPr>
        <w:pStyle w:val="Normal"/>
        <w:spacing w:lineRule="auto" w:line="480" w:before="0" w:after="0"/>
        <w:jc w:val="center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4537710</wp:posOffset>
            </wp:positionH>
            <wp:positionV relativeFrom="paragraph">
              <wp:posOffset>241300</wp:posOffset>
            </wp:positionV>
            <wp:extent cx="1811655" cy="191325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564" t="0" r="1817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cs="Arial" w:ascii="Arial" w:hAnsi="Arial"/>
          <w:b/>
          <w:sz w:val="18"/>
          <w:szCs w:val="18"/>
          <w:lang w:val="en-US"/>
        </w:rPr>
        <w:t>HONDA 690</w:t>
      </w:r>
      <w:r>
        <w:rPr>
          <w:rFonts w:cs="Arial" w:ascii="Arial" w:hAnsi="Arial"/>
          <w:b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альтернатор </w:t>
      </w:r>
      <w:r>
        <w:rPr>
          <w:rFonts w:cs="Arial" w:ascii="Arial" w:hAnsi="Arial"/>
          <w:b/>
          <w:sz w:val="18"/>
          <w:szCs w:val="18"/>
        </w:rPr>
        <w:t>(Италия);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216"/>
      </w:tblGrid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GG12</w:t>
            </w:r>
            <w:r>
              <w:rPr>
                <w:b/>
              </w:rPr>
              <w:t>-380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кВт/10,0 кВт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кВт/11,0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А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970х630х900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HONDA 690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см3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,9 л.с./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,8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d68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jpeg"/><Relationship Id="rId3" Type="http://schemas.openxmlformats.org/officeDocument/2006/relationships/image" Target="media/image18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2013-02-12T06:26:00Z</cp:lastPrinted>
  <dcterms:modified xsi:type="dcterms:W3CDTF">2015-11-23T08:49:00Z</dcterms:modified>
  <cp:revision>59</cp:revision>
</cp:coreProperties>
</file>